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BA4A0C">
      <w:pPr>
        <w:adjustRightInd w:val="0"/>
        <w:snapToGrid w:val="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附件</w:t>
      </w:r>
      <w:r>
        <w:rPr>
          <w:rFonts w:ascii="Times New Roman" w:hAnsi="Times New Roman" w:eastAsia="黑体" w:cs="Times New Roman"/>
          <w:sz w:val="32"/>
          <w:szCs w:val="32"/>
        </w:rPr>
        <w:t>5</w:t>
      </w:r>
    </w:p>
    <w:p w14:paraId="35FF3CE4">
      <w:pPr>
        <w:rPr>
          <w:rFonts w:ascii="Times New Roman" w:hAnsi="Times New Roman" w:eastAsia="宋体" w:cs="Times New Roman"/>
          <w:sz w:val="28"/>
          <w:szCs w:val="28"/>
        </w:rPr>
      </w:pPr>
    </w:p>
    <w:p w14:paraId="03FF9681">
      <w:pPr>
        <w:spacing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bookmarkStart w:id="0" w:name="_Hlk207991833"/>
      <w:r>
        <w:rPr>
          <w:rFonts w:hint="eastAsia" w:ascii="Times New Roman" w:hAnsi="Times New Roman" w:eastAsia="方正小标宋简体" w:cs="Times New Roman"/>
          <w:sz w:val="44"/>
          <w:szCs w:val="44"/>
        </w:rPr>
        <w:t>江苏省高校电子信息类课程教学竞赛</w:t>
      </w:r>
    </w:p>
    <w:p w14:paraId="048A38AC">
      <w:pPr>
        <w:spacing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</w:rPr>
        <w:t>课堂教学评分表</w:t>
      </w:r>
      <w:bookmarkEnd w:id="0"/>
    </w:p>
    <w:p w14:paraId="64F857E8">
      <w:pPr>
        <w:spacing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"/>
        <w:gridCol w:w="728"/>
        <w:gridCol w:w="5475"/>
        <w:gridCol w:w="583"/>
        <w:gridCol w:w="585"/>
        <w:gridCol w:w="574"/>
      </w:tblGrid>
      <w:tr w14:paraId="6D043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339" w:type="pct"/>
          </w:tcPr>
          <w:p w14:paraId="655E9924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4"/>
              </w:rPr>
            </w:pPr>
          </w:p>
        </w:tc>
        <w:tc>
          <w:tcPr>
            <w:tcW w:w="427" w:type="pct"/>
            <w:vAlign w:val="center"/>
          </w:tcPr>
          <w:p w14:paraId="352E025C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4"/>
              </w:rPr>
              <w:t>项</w:t>
            </w:r>
            <w:r>
              <w:rPr>
                <w:rFonts w:ascii="仿宋" w:hAnsi="仿宋" w:eastAsia="仿宋" w:cs="宋体"/>
                <w:b/>
                <w:bCs/>
                <w:kern w:val="0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4"/>
              </w:rPr>
              <w:t>目</w:t>
            </w:r>
          </w:p>
        </w:tc>
        <w:tc>
          <w:tcPr>
            <w:tcW w:w="3212" w:type="pct"/>
            <w:vAlign w:val="center"/>
          </w:tcPr>
          <w:p w14:paraId="6A7921AD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4"/>
              </w:rPr>
              <w:t>指</w:t>
            </w:r>
            <w:r>
              <w:rPr>
                <w:rFonts w:ascii="仿宋" w:hAnsi="仿宋" w:eastAsia="仿宋" w:cs="宋体"/>
                <w:b/>
                <w:bCs/>
                <w:kern w:val="0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4"/>
              </w:rPr>
              <w:t>标</w:t>
            </w:r>
            <w:r>
              <w:rPr>
                <w:rFonts w:ascii="仿宋" w:hAnsi="仿宋" w:eastAsia="仿宋" w:cs="宋体"/>
                <w:b/>
                <w:bCs/>
                <w:kern w:val="0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4"/>
              </w:rPr>
              <w:t>内</w:t>
            </w:r>
            <w:r>
              <w:rPr>
                <w:rFonts w:ascii="仿宋" w:hAnsi="仿宋" w:eastAsia="仿宋" w:cs="宋体"/>
                <w:b/>
                <w:bCs/>
                <w:kern w:val="0"/>
                <w:szCs w:val="24"/>
              </w:rPr>
              <w:t xml:space="preserve"> 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4"/>
              </w:rPr>
              <w:t>容</w:t>
            </w:r>
          </w:p>
        </w:tc>
        <w:tc>
          <w:tcPr>
            <w:tcW w:w="342" w:type="pct"/>
            <w:vAlign w:val="center"/>
          </w:tcPr>
          <w:p w14:paraId="442B784C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4"/>
              </w:rPr>
              <w:t>满分</w:t>
            </w:r>
          </w:p>
        </w:tc>
        <w:tc>
          <w:tcPr>
            <w:tcW w:w="343" w:type="pct"/>
            <w:vAlign w:val="center"/>
          </w:tcPr>
          <w:p w14:paraId="6AC600AC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4"/>
              </w:rPr>
              <w:t>得分</w:t>
            </w:r>
          </w:p>
        </w:tc>
        <w:tc>
          <w:tcPr>
            <w:tcW w:w="337" w:type="pct"/>
            <w:vAlign w:val="center"/>
          </w:tcPr>
          <w:p w14:paraId="7D87DD90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4"/>
              </w:rPr>
              <w:t>备注</w:t>
            </w:r>
          </w:p>
        </w:tc>
      </w:tr>
      <w:tr w14:paraId="18045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39" w:type="pct"/>
            <w:vMerge w:val="restart"/>
            <w:vAlign w:val="center"/>
          </w:tcPr>
          <w:p w14:paraId="3DE8D538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  <w:r>
              <w:rPr>
                <w:rFonts w:ascii="仿宋" w:hAnsi="仿宋" w:eastAsia="仿宋" w:cs="宋体"/>
                <w:kern w:val="0"/>
                <w:szCs w:val="24"/>
              </w:rPr>
              <w:t>1</w:t>
            </w:r>
          </w:p>
        </w:tc>
        <w:tc>
          <w:tcPr>
            <w:tcW w:w="427" w:type="pct"/>
            <w:vMerge w:val="restart"/>
            <w:vAlign w:val="center"/>
          </w:tcPr>
          <w:p w14:paraId="3CBD3071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4"/>
              </w:rPr>
              <w:t>教学内容</w:t>
            </w:r>
          </w:p>
        </w:tc>
        <w:tc>
          <w:tcPr>
            <w:tcW w:w="3212" w:type="pct"/>
            <w:vAlign w:val="center"/>
          </w:tcPr>
          <w:p w14:paraId="02B52850"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4"/>
              </w:rPr>
              <w:t>贯彻立德树人根本任务，注重教书育人；概念引入合理、准确、严谨；内容衔接连贯，逻辑清晰。</w:t>
            </w:r>
          </w:p>
        </w:tc>
        <w:tc>
          <w:tcPr>
            <w:tcW w:w="342" w:type="pct"/>
            <w:vAlign w:val="center"/>
          </w:tcPr>
          <w:p w14:paraId="08948DEE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4"/>
              </w:rPr>
              <w:t>10</w:t>
            </w:r>
          </w:p>
        </w:tc>
        <w:tc>
          <w:tcPr>
            <w:tcW w:w="343" w:type="pct"/>
            <w:vAlign w:val="center"/>
          </w:tcPr>
          <w:p w14:paraId="1DC4B42D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37" w:type="pct"/>
          </w:tcPr>
          <w:p w14:paraId="6F0848C6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03D0F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39" w:type="pct"/>
            <w:vMerge w:val="continue"/>
            <w:vAlign w:val="center"/>
          </w:tcPr>
          <w:p w14:paraId="592C384F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</w:p>
        </w:tc>
        <w:tc>
          <w:tcPr>
            <w:tcW w:w="427" w:type="pct"/>
            <w:vMerge w:val="continue"/>
            <w:vAlign w:val="center"/>
          </w:tcPr>
          <w:p w14:paraId="6499E950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</w:p>
        </w:tc>
        <w:tc>
          <w:tcPr>
            <w:tcW w:w="3212" w:type="pct"/>
            <w:vAlign w:val="center"/>
          </w:tcPr>
          <w:p w14:paraId="7CA6493E">
            <w:pPr>
              <w:widowControl/>
              <w:rPr>
                <w:rFonts w:ascii="仿宋" w:hAnsi="仿宋" w:eastAsia="仿宋" w:cs="宋体"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Cs w:val="24"/>
              </w:rPr>
              <w:t>理论联系实际，具备学术性，内容精炼，信息量大，注重反映电子信息前沿知识和科技成果。</w:t>
            </w:r>
          </w:p>
        </w:tc>
        <w:tc>
          <w:tcPr>
            <w:tcW w:w="342" w:type="pct"/>
            <w:vAlign w:val="center"/>
          </w:tcPr>
          <w:p w14:paraId="3B5F2DD2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Cs w:val="24"/>
              </w:rPr>
              <w:t>1</w:t>
            </w:r>
            <w:r>
              <w:rPr>
                <w:rFonts w:ascii="仿宋" w:hAnsi="仿宋" w:eastAsia="仿宋" w:cs="宋体"/>
                <w:kern w:val="0"/>
                <w:szCs w:val="24"/>
              </w:rPr>
              <w:t>0</w:t>
            </w:r>
          </w:p>
        </w:tc>
        <w:tc>
          <w:tcPr>
            <w:tcW w:w="343" w:type="pct"/>
            <w:vAlign w:val="center"/>
          </w:tcPr>
          <w:p w14:paraId="5D5F3498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37" w:type="pct"/>
          </w:tcPr>
          <w:p w14:paraId="3166499A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0ABC8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39" w:type="pct"/>
            <w:vMerge w:val="continue"/>
            <w:vAlign w:val="center"/>
          </w:tcPr>
          <w:p w14:paraId="354FED19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7" w:type="pct"/>
            <w:vMerge w:val="continue"/>
            <w:vAlign w:val="center"/>
          </w:tcPr>
          <w:p w14:paraId="06CB7E76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212" w:type="pct"/>
            <w:vAlign w:val="center"/>
          </w:tcPr>
          <w:p w14:paraId="4C25FBFA"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4"/>
              </w:rPr>
              <w:t>重点突出，条理清晰，承前启后，循序渐进；渗透专业思想，为教学目标服务。</w:t>
            </w:r>
          </w:p>
        </w:tc>
        <w:tc>
          <w:tcPr>
            <w:tcW w:w="342" w:type="pct"/>
            <w:vAlign w:val="center"/>
          </w:tcPr>
          <w:p w14:paraId="31ACD652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1</w:t>
            </w:r>
            <w:r>
              <w:rPr>
                <w:rFonts w:ascii="仿宋" w:hAnsi="仿宋" w:eastAsia="仿宋" w:cs="宋体"/>
                <w:kern w:val="0"/>
                <w:szCs w:val="21"/>
              </w:rPr>
              <w:t>0</w:t>
            </w:r>
          </w:p>
        </w:tc>
        <w:tc>
          <w:tcPr>
            <w:tcW w:w="343" w:type="pct"/>
            <w:vAlign w:val="center"/>
          </w:tcPr>
          <w:p w14:paraId="1DF0410E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37" w:type="pct"/>
          </w:tcPr>
          <w:p w14:paraId="5974478D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12E00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39" w:type="pct"/>
            <w:vMerge w:val="restart"/>
            <w:vAlign w:val="center"/>
          </w:tcPr>
          <w:p w14:paraId="68564D6E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Cs w:val="24"/>
              </w:rPr>
              <w:t>2</w:t>
            </w:r>
          </w:p>
          <w:p w14:paraId="2C2F6E35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</w:p>
        </w:tc>
        <w:tc>
          <w:tcPr>
            <w:tcW w:w="427" w:type="pct"/>
            <w:vMerge w:val="restart"/>
            <w:vAlign w:val="center"/>
          </w:tcPr>
          <w:p w14:paraId="0BBA7685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4"/>
              </w:rPr>
              <w:t>教学方法手段</w:t>
            </w:r>
          </w:p>
        </w:tc>
        <w:tc>
          <w:tcPr>
            <w:tcW w:w="3212" w:type="pct"/>
            <w:vAlign w:val="center"/>
          </w:tcPr>
          <w:p w14:paraId="6ABA5B56"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教学过程安排合理，方法运用灵活、恰当，教学设计体现完整。</w:t>
            </w:r>
          </w:p>
        </w:tc>
        <w:tc>
          <w:tcPr>
            <w:tcW w:w="342" w:type="pct"/>
            <w:vAlign w:val="center"/>
          </w:tcPr>
          <w:p w14:paraId="30BD9221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4"/>
              </w:rPr>
              <w:t>10</w:t>
            </w:r>
          </w:p>
        </w:tc>
        <w:tc>
          <w:tcPr>
            <w:tcW w:w="343" w:type="pct"/>
            <w:vAlign w:val="center"/>
          </w:tcPr>
          <w:p w14:paraId="7C7EE565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37" w:type="pct"/>
          </w:tcPr>
          <w:p w14:paraId="1FDD8FC8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4FA16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39" w:type="pct"/>
            <w:vMerge w:val="continue"/>
            <w:vAlign w:val="center"/>
          </w:tcPr>
          <w:p w14:paraId="1706B51C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</w:p>
        </w:tc>
        <w:tc>
          <w:tcPr>
            <w:tcW w:w="427" w:type="pct"/>
            <w:vMerge w:val="continue"/>
            <w:vAlign w:val="center"/>
          </w:tcPr>
          <w:p w14:paraId="1A3E8D4B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</w:p>
        </w:tc>
        <w:tc>
          <w:tcPr>
            <w:tcW w:w="3212" w:type="pct"/>
            <w:vAlign w:val="center"/>
          </w:tcPr>
          <w:p w14:paraId="7D9A5CB8"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4"/>
              </w:rPr>
              <w:t>熟练、有效地运用多媒体教学手段和A</w:t>
            </w:r>
            <w:r>
              <w:rPr>
                <w:rFonts w:ascii="仿宋" w:hAnsi="仿宋" w:eastAsia="仿宋" w:cs="宋体"/>
                <w:kern w:val="0"/>
                <w:szCs w:val="24"/>
              </w:rPr>
              <w:t>I</w:t>
            </w:r>
            <w:r>
              <w:rPr>
                <w:rFonts w:hint="eastAsia" w:ascii="仿宋" w:hAnsi="仿宋" w:eastAsia="仿宋" w:cs="宋体"/>
                <w:kern w:val="0"/>
                <w:szCs w:val="24"/>
              </w:rPr>
              <w:t>工具，提高教学效率，强化教学效果。</w:t>
            </w:r>
          </w:p>
        </w:tc>
        <w:tc>
          <w:tcPr>
            <w:tcW w:w="342" w:type="pct"/>
            <w:vAlign w:val="center"/>
          </w:tcPr>
          <w:p w14:paraId="76711DFB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Cs w:val="24"/>
              </w:rPr>
              <w:t>1</w:t>
            </w:r>
            <w:r>
              <w:rPr>
                <w:rFonts w:ascii="仿宋" w:hAnsi="仿宋" w:eastAsia="仿宋" w:cs="宋体"/>
                <w:kern w:val="0"/>
                <w:szCs w:val="24"/>
              </w:rPr>
              <w:t>0</w:t>
            </w:r>
          </w:p>
        </w:tc>
        <w:tc>
          <w:tcPr>
            <w:tcW w:w="343" w:type="pct"/>
            <w:vAlign w:val="center"/>
          </w:tcPr>
          <w:p w14:paraId="1B72E2D4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37" w:type="pct"/>
          </w:tcPr>
          <w:p w14:paraId="011AA079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3BD0C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39" w:type="pct"/>
            <w:vMerge w:val="continue"/>
            <w:vAlign w:val="center"/>
          </w:tcPr>
          <w:p w14:paraId="09DA4A01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</w:p>
        </w:tc>
        <w:tc>
          <w:tcPr>
            <w:tcW w:w="427" w:type="pct"/>
            <w:vMerge w:val="continue"/>
            <w:vAlign w:val="center"/>
          </w:tcPr>
          <w:p w14:paraId="5A6D7AF4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</w:p>
        </w:tc>
        <w:tc>
          <w:tcPr>
            <w:tcW w:w="3212" w:type="pct"/>
            <w:vAlign w:val="center"/>
          </w:tcPr>
          <w:p w14:paraId="0D1159E1">
            <w:pPr>
              <w:widowControl/>
              <w:rPr>
                <w:rFonts w:ascii="仿宋" w:hAnsi="仿宋" w:eastAsia="仿宋" w:cs="宋体"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Cs w:val="24"/>
              </w:rPr>
              <w:t>教学启发性强，能培养学生的问题意识和批判精神，注重对学生的思维启发和能力培养。</w:t>
            </w:r>
          </w:p>
        </w:tc>
        <w:tc>
          <w:tcPr>
            <w:tcW w:w="342" w:type="pct"/>
            <w:vAlign w:val="center"/>
          </w:tcPr>
          <w:p w14:paraId="4D2FB094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  <w:r>
              <w:rPr>
                <w:rFonts w:ascii="仿宋" w:hAnsi="仿宋" w:eastAsia="仿宋" w:cs="宋体"/>
                <w:kern w:val="0"/>
                <w:szCs w:val="24"/>
              </w:rPr>
              <w:t>10</w:t>
            </w:r>
          </w:p>
        </w:tc>
        <w:tc>
          <w:tcPr>
            <w:tcW w:w="343" w:type="pct"/>
            <w:vAlign w:val="center"/>
          </w:tcPr>
          <w:p w14:paraId="528A128E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37" w:type="pct"/>
          </w:tcPr>
          <w:p w14:paraId="59C3DF74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2CA21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39" w:type="pct"/>
            <w:vMerge w:val="continue"/>
            <w:vAlign w:val="center"/>
          </w:tcPr>
          <w:p w14:paraId="650AA5C9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7" w:type="pct"/>
            <w:vMerge w:val="continue"/>
            <w:vAlign w:val="center"/>
          </w:tcPr>
          <w:p w14:paraId="1A9FD42C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212" w:type="pct"/>
            <w:vAlign w:val="center"/>
          </w:tcPr>
          <w:p w14:paraId="3EDA9977"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板书设计与教学内容紧密联系、结构合理，与多媒体配合恰当、美观。</w:t>
            </w:r>
          </w:p>
        </w:tc>
        <w:tc>
          <w:tcPr>
            <w:tcW w:w="342" w:type="pct"/>
            <w:vAlign w:val="center"/>
          </w:tcPr>
          <w:p w14:paraId="19EA1BED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4"/>
              </w:rPr>
              <w:t>5</w:t>
            </w:r>
          </w:p>
        </w:tc>
        <w:tc>
          <w:tcPr>
            <w:tcW w:w="343" w:type="pct"/>
            <w:vAlign w:val="center"/>
          </w:tcPr>
          <w:p w14:paraId="6F552587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37" w:type="pct"/>
          </w:tcPr>
          <w:p w14:paraId="43FAFF54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0E8F4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39" w:type="pct"/>
            <w:vMerge w:val="restart"/>
            <w:vAlign w:val="center"/>
          </w:tcPr>
          <w:p w14:paraId="50B77617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Cs w:val="24"/>
              </w:rPr>
              <w:t>3</w:t>
            </w:r>
          </w:p>
          <w:p w14:paraId="04A94146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</w:p>
        </w:tc>
        <w:tc>
          <w:tcPr>
            <w:tcW w:w="427" w:type="pct"/>
            <w:vMerge w:val="restart"/>
            <w:vAlign w:val="center"/>
          </w:tcPr>
          <w:p w14:paraId="29B2DF7F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4"/>
              </w:rPr>
              <w:t>教学效果</w:t>
            </w:r>
          </w:p>
        </w:tc>
        <w:tc>
          <w:tcPr>
            <w:tcW w:w="3212" w:type="pct"/>
            <w:vAlign w:val="center"/>
          </w:tcPr>
          <w:p w14:paraId="63DF3C71"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4"/>
              </w:rPr>
              <w:t>普通话流畅、标准，口齿清楚，表达生动自然；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肢体语言运用合理、恰当，教态自然大方。</w:t>
            </w:r>
          </w:p>
        </w:tc>
        <w:tc>
          <w:tcPr>
            <w:tcW w:w="342" w:type="pct"/>
            <w:vAlign w:val="center"/>
          </w:tcPr>
          <w:p w14:paraId="0C413543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4"/>
              </w:rPr>
              <w:t>10</w:t>
            </w:r>
          </w:p>
        </w:tc>
        <w:tc>
          <w:tcPr>
            <w:tcW w:w="343" w:type="pct"/>
            <w:vAlign w:val="center"/>
          </w:tcPr>
          <w:p w14:paraId="34DE0EC4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37" w:type="pct"/>
          </w:tcPr>
          <w:p w14:paraId="2D74101A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2E27D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39" w:type="pct"/>
            <w:vMerge w:val="continue"/>
            <w:vAlign w:val="center"/>
          </w:tcPr>
          <w:p w14:paraId="624DB431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7" w:type="pct"/>
            <w:vMerge w:val="continue"/>
            <w:vAlign w:val="center"/>
          </w:tcPr>
          <w:p w14:paraId="3104745B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212" w:type="pct"/>
            <w:vAlign w:val="center"/>
          </w:tcPr>
          <w:p w14:paraId="4C745B0F"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4"/>
              </w:rPr>
              <w:t>有独特的教学思路、教学方法、教学手段，能有效促进学生的创新意识和创新能力提升。</w:t>
            </w:r>
          </w:p>
        </w:tc>
        <w:tc>
          <w:tcPr>
            <w:tcW w:w="342" w:type="pct"/>
            <w:vAlign w:val="center"/>
          </w:tcPr>
          <w:p w14:paraId="017F2E02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4"/>
              </w:rPr>
              <w:t>10</w:t>
            </w:r>
          </w:p>
        </w:tc>
        <w:tc>
          <w:tcPr>
            <w:tcW w:w="343" w:type="pct"/>
            <w:vAlign w:val="center"/>
          </w:tcPr>
          <w:p w14:paraId="5E3DBEB3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37" w:type="pct"/>
          </w:tcPr>
          <w:p w14:paraId="32E935F5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2E0AD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39" w:type="pct"/>
            <w:vMerge w:val="continue"/>
            <w:vAlign w:val="center"/>
          </w:tcPr>
          <w:p w14:paraId="47F3D06A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427" w:type="pct"/>
            <w:vMerge w:val="continue"/>
            <w:vAlign w:val="center"/>
          </w:tcPr>
          <w:p w14:paraId="188E5AAD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212" w:type="pct"/>
            <w:vAlign w:val="center"/>
          </w:tcPr>
          <w:p w14:paraId="5937AAC1"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充分展示教师良好教学风貌，</w:t>
            </w:r>
            <w:r>
              <w:rPr>
                <w:rFonts w:hint="eastAsia" w:ascii="仿宋" w:hAnsi="仿宋" w:eastAsia="仿宋" w:cs="宋体"/>
                <w:kern w:val="0"/>
                <w:szCs w:val="24"/>
              </w:rPr>
              <w:t>课堂气氛活跃。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</w:t>
            </w:r>
          </w:p>
        </w:tc>
        <w:tc>
          <w:tcPr>
            <w:tcW w:w="342" w:type="pct"/>
            <w:vAlign w:val="center"/>
          </w:tcPr>
          <w:p w14:paraId="27BA2F70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4"/>
              </w:rPr>
              <w:t>10</w:t>
            </w:r>
          </w:p>
        </w:tc>
        <w:tc>
          <w:tcPr>
            <w:tcW w:w="343" w:type="pct"/>
            <w:vAlign w:val="center"/>
          </w:tcPr>
          <w:p w14:paraId="3AE1703E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37" w:type="pct"/>
          </w:tcPr>
          <w:p w14:paraId="6F67806C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47F8D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39" w:type="pct"/>
            <w:vAlign w:val="center"/>
          </w:tcPr>
          <w:p w14:paraId="1EEF985B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Cs w:val="24"/>
              </w:rPr>
              <w:t>4</w:t>
            </w:r>
          </w:p>
        </w:tc>
        <w:tc>
          <w:tcPr>
            <w:tcW w:w="427" w:type="pct"/>
            <w:vAlign w:val="center"/>
          </w:tcPr>
          <w:p w14:paraId="0AB2FEE3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教学特色</w:t>
            </w:r>
          </w:p>
        </w:tc>
        <w:tc>
          <w:tcPr>
            <w:tcW w:w="3212" w:type="pct"/>
            <w:vAlign w:val="center"/>
          </w:tcPr>
          <w:p w14:paraId="6232A13D"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教学理念先进、风格突出、感染力强、教学效果好。</w:t>
            </w:r>
          </w:p>
        </w:tc>
        <w:tc>
          <w:tcPr>
            <w:tcW w:w="342" w:type="pct"/>
            <w:vAlign w:val="center"/>
          </w:tcPr>
          <w:p w14:paraId="0B89C284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5</w:t>
            </w:r>
          </w:p>
        </w:tc>
        <w:tc>
          <w:tcPr>
            <w:tcW w:w="343" w:type="pct"/>
            <w:vAlign w:val="center"/>
          </w:tcPr>
          <w:p w14:paraId="541BFEEA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37" w:type="pct"/>
          </w:tcPr>
          <w:p w14:paraId="6B5CACD7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77B34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39" w:type="pct"/>
          </w:tcPr>
          <w:p w14:paraId="7A959779">
            <w:pPr>
              <w:widowControl/>
              <w:jc w:val="center"/>
              <w:rPr>
                <w:rFonts w:ascii="仿宋" w:hAnsi="仿宋" w:eastAsia="仿宋" w:cs="宋体"/>
                <w:kern w:val="0"/>
                <w:szCs w:val="24"/>
              </w:rPr>
            </w:pPr>
          </w:p>
        </w:tc>
        <w:tc>
          <w:tcPr>
            <w:tcW w:w="427" w:type="pct"/>
            <w:vAlign w:val="center"/>
          </w:tcPr>
          <w:p w14:paraId="2F51D252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4"/>
              </w:rPr>
              <w:t>总评</w:t>
            </w:r>
          </w:p>
        </w:tc>
        <w:tc>
          <w:tcPr>
            <w:tcW w:w="3212" w:type="pct"/>
            <w:vAlign w:val="center"/>
          </w:tcPr>
          <w:p w14:paraId="4B081AC5">
            <w:pPr>
              <w:widowControl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022" w:type="pct"/>
            <w:gridSpan w:val="3"/>
            <w:vAlign w:val="center"/>
          </w:tcPr>
          <w:p w14:paraId="0504E218">
            <w:pPr>
              <w:widowControl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</w:tbl>
    <w:p w14:paraId="4D6F84BB">
      <w:pPr>
        <w:adjustRightInd w:val="0"/>
        <w:snapToGrid w:val="0"/>
        <w:rPr>
          <w:rFonts w:ascii="仿宋" w:hAnsi="仿宋" w:eastAsia="仿宋" w:cs="宋体"/>
          <w:kern w:val="0"/>
          <w:szCs w:val="21"/>
        </w:rPr>
      </w:pPr>
    </w:p>
    <w:p w14:paraId="51AE99EC">
      <w:pPr>
        <w:adjustRightInd w:val="0"/>
        <w:snapToGrid w:val="0"/>
        <w:rPr>
          <w:rFonts w:ascii="仿宋" w:hAnsi="仿宋" w:eastAsia="仿宋" w:cs="宋体"/>
          <w:kern w:val="0"/>
          <w:szCs w:val="21"/>
        </w:rPr>
      </w:pPr>
      <w:r>
        <w:rPr>
          <w:rFonts w:hint="eastAsia" w:ascii="仿宋" w:hAnsi="仿宋" w:eastAsia="仿宋" w:cs="宋体"/>
          <w:kern w:val="0"/>
          <w:szCs w:val="21"/>
        </w:rPr>
        <w:t>注：课堂教学总分</w:t>
      </w:r>
      <w:r>
        <w:rPr>
          <w:rFonts w:ascii="仿宋" w:hAnsi="仿宋" w:eastAsia="仿宋" w:cs="宋体"/>
          <w:kern w:val="0"/>
          <w:szCs w:val="21"/>
        </w:rPr>
        <w:t>100</w:t>
      </w:r>
      <w:r>
        <w:rPr>
          <w:rFonts w:hint="eastAsia" w:ascii="仿宋" w:hAnsi="仿宋" w:eastAsia="仿宋" w:cs="宋体"/>
          <w:kern w:val="0"/>
          <w:szCs w:val="21"/>
        </w:rPr>
        <w:t>分，以</w:t>
      </w:r>
      <w:r>
        <w:rPr>
          <w:rFonts w:ascii="仿宋" w:hAnsi="仿宋" w:eastAsia="仿宋" w:cs="宋体"/>
          <w:kern w:val="0"/>
          <w:szCs w:val="21"/>
        </w:rPr>
        <w:t xml:space="preserve">70% </w:t>
      </w:r>
      <w:r>
        <w:rPr>
          <w:rFonts w:hint="eastAsia" w:ascii="仿宋" w:hAnsi="仿宋" w:eastAsia="仿宋" w:cs="宋体"/>
          <w:kern w:val="0"/>
          <w:szCs w:val="21"/>
        </w:rPr>
        <w:t>计入复赛成绩。</w:t>
      </w:r>
    </w:p>
    <w:p w14:paraId="5ECCC1C2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500AA4"/>
    <w:rsid w:val="42500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2026-09-17T00:57:00Z</dcterms:created>
  <dc:creator>黄榕</dc:creator>
  <cp:lastModifiedBy>黄榕</cp:lastModifiedBy>
  <dcterms:modified xsi:type="dcterms:W3CDTF">2026-09-17T00:57:15Z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E20D3E4AFD6D4E44BBEB25E8275A9215_11</vt:lpwstr>
  </property>
  <property fmtid="{D5CDD505-2E9C-101B-9397-08002B2CF9AE}" pid="4" name="KSOTemplateDocerSaveRecord">
    <vt:lpwstr>eyJoZGlkIjoiMzEwNTM5NzYwMDRjMzkwZTVkZjY2ODkwMGIxNGU0OTUiLCJ1c2VySWQiOiIyODc0NDcxMTcifQ==</vt:lpwstr>
  </property>
</Properties>
</file>