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0E" w:rsidRDefault="00AC770E" w:rsidP="00AC770E">
      <w:pPr>
        <w:pStyle w:val="Heading110"/>
        <w:keepNext/>
        <w:keepLines/>
        <w:spacing w:beforeLines="100" w:before="240" w:afterLines="50" w:after="120" w:line="360" w:lineRule="auto"/>
        <w:ind w:firstLine="0"/>
        <w:jc w:val="both"/>
        <w:rPr>
          <w:rFonts w:ascii="仿宋" w:eastAsia="仿宋" w:hAnsi="仿宋" w:cs="仿宋"/>
          <w:color w:val="000000" w:themeColor="text1"/>
          <w:lang w:val="en-US" w:eastAsia="zh-CN"/>
        </w:rPr>
      </w:pPr>
      <w:r>
        <w:rPr>
          <w:rFonts w:ascii="仿宋" w:eastAsia="仿宋" w:hAnsi="仿宋" w:cs="仿宋" w:hint="eastAsia"/>
          <w:color w:val="000000" w:themeColor="text1"/>
          <w:lang w:val="en-US" w:eastAsia="zh-CN"/>
        </w:rPr>
        <w:t>附1:各赛道简介</w:t>
      </w:r>
    </w:p>
    <w:p w:rsidR="00AC770E" w:rsidRDefault="00AC770E" w:rsidP="00AC770E">
      <w:pPr>
        <w:pStyle w:val="Bodytext10"/>
        <w:spacing w:line="360" w:lineRule="auto"/>
        <w:ind w:firstLine="580"/>
        <w:jc w:val="both"/>
        <w:rPr>
          <w:rFonts w:ascii="仿宋" w:eastAsia="仿宋" w:hAnsi="仿宋" w:cs="仿宋"/>
          <w:b/>
          <w:bCs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 w:eastAsia="zh-CN"/>
        </w:rPr>
        <w:t>赛道一：经济学综合博弈实验竞赛</w:t>
      </w:r>
    </w:p>
    <w:p w:rsidR="00AC770E" w:rsidRDefault="00AC770E" w:rsidP="00AC770E">
      <w:pPr>
        <w:pStyle w:val="Bodytext10"/>
        <w:spacing w:line="360" w:lineRule="auto"/>
        <w:ind w:firstLine="580"/>
        <w:jc w:val="both"/>
        <w:rPr>
          <w:rFonts w:ascii="仿宋" w:eastAsia="仿宋" w:hAnsi="仿宋" w:cs="仿宋"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sz w:val="28"/>
          <w:szCs w:val="28"/>
          <w:lang w:val="en-US" w:eastAsia="zh-CN"/>
        </w:rPr>
        <w:t>竞赛使用《经济学综合仿真实训平台V2.2》，第一部分为微观经济理性决策，软件中厂商竞赛模块业务操作包括现金管理模块、原料与要素供给、市场需求竞标、生产/交付/技改、政府监管等决策。通过比较各组最终权益高低由软件自动评分。第二部分为宏观经济调控与预测，每队每年竞选政府，颁布宏观经济政策，调控经济以达到预期目标，其他未当选政府的各组可以预测经济指标，软件将根据各组宏观目标达成情况和预测准确度自动评分。</w:t>
      </w:r>
    </w:p>
    <w:p w:rsidR="00AC770E" w:rsidRDefault="00AC770E" w:rsidP="00AC770E">
      <w:pPr>
        <w:pStyle w:val="Bodytext10"/>
        <w:spacing w:line="360" w:lineRule="auto"/>
        <w:ind w:firstLine="580"/>
        <w:jc w:val="both"/>
        <w:rPr>
          <w:rFonts w:ascii="仿宋" w:eastAsia="仿宋" w:hAnsi="仿宋" w:cs="仿宋"/>
          <w:b/>
          <w:bCs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 w:eastAsia="zh-CN"/>
        </w:rPr>
        <w:t>赛道二：财政学与公共管理决策竞赛</w:t>
      </w:r>
    </w:p>
    <w:p w:rsidR="00AC770E" w:rsidRDefault="00AC770E" w:rsidP="00AC770E">
      <w:pPr>
        <w:pStyle w:val="Bodytext10"/>
        <w:spacing w:line="360" w:lineRule="auto"/>
        <w:ind w:firstLine="580"/>
        <w:jc w:val="both"/>
        <w:rPr>
          <w:rFonts w:ascii="仿宋" w:eastAsia="仿宋" w:hAnsi="仿宋" w:cs="仿宋"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sz w:val="28"/>
          <w:szCs w:val="28"/>
          <w:lang w:val="en-US" w:eastAsia="zh-CN"/>
        </w:rPr>
        <w:t>竞赛使用《财政学与公共管理综合仿真实训平台V2.0》，每年各政府进行财政预算、政府融资、土地征收与规划、主导型制造业招商、市政工程、配套型与服务业招商、公共事业投资、人才引进与企业扶持、二次征地、住宅用地拍卖、年底收支平衡核算等决策。评分指标主要包括预测得分、财政预算与实际偏离度、新增就业占常住人口比例、企业活力指数、居民幸福值，由软件自动评分。</w:t>
      </w:r>
    </w:p>
    <w:p w:rsidR="00AC770E" w:rsidRDefault="00AC770E" w:rsidP="00AC770E">
      <w:pPr>
        <w:pStyle w:val="Bodytext10"/>
        <w:spacing w:line="360" w:lineRule="auto"/>
        <w:ind w:firstLine="580"/>
        <w:jc w:val="both"/>
        <w:rPr>
          <w:rFonts w:ascii="仿宋" w:eastAsia="仿宋" w:hAnsi="仿宋" w:cs="仿宋"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 w:eastAsia="zh-CN"/>
        </w:rPr>
        <w:t>赛道三：国际经济分析与决策竞赛</w:t>
      </w:r>
    </w:p>
    <w:p w:rsidR="00AC770E" w:rsidRDefault="00AC770E" w:rsidP="00AC770E">
      <w:pPr>
        <w:pStyle w:val="Bodytext10"/>
        <w:spacing w:line="360" w:lineRule="auto"/>
        <w:ind w:firstLine="580"/>
        <w:jc w:val="both"/>
        <w:rPr>
          <w:rFonts w:ascii="仿宋" w:eastAsia="仿宋" w:hAnsi="仿宋" w:cs="仿宋"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sz w:val="28"/>
          <w:szCs w:val="28"/>
          <w:lang w:val="en-US" w:eastAsia="zh-CN"/>
        </w:rPr>
        <w:t>竞赛使用《数字经济实验室（国际经济学仿真实验）平台V1.2》，在多国开放经济环境中，每个参赛团队扮演一个厂商，多个厂商组成若干个国家（至少2个国家，一个国家至少8个组）。该竞赛平台充分体现开放经济环境中国家与国家的竞争，参赛选手需要分析国际经济贸易环境，制定关税和非关税等国际经贸政策、国际金融政策，调控经济以提高出口竞</w:t>
      </w:r>
      <w:r>
        <w:rPr>
          <w:rFonts w:ascii="仿宋" w:eastAsia="仿宋" w:hAnsi="仿宋" w:cs="仿宋" w:hint="eastAsia"/>
          <w:sz w:val="28"/>
          <w:szCs w:val="28"/>
          <w:lang w:val="en-US" w:eastAsia="zh-CN"/>
        </w:rPr>
        <w:lastRenderedPageBreak/>
        <w:t>争力，实现国际收支平衡。软件将根据各组经济增长情况自动评分。</w:t>
      </w:r>
    </w:p>
    <w:p w:rsidR="004E6D6B" w:rsidRPr="00AC770E" w:rsidRDefault="00AC770E" w:rsidP="00AC770E">
      <w:pPr>
        <w:pStyle w:val="Bodytext10"/>
        <w:spacing w:line="360" w:lineRule="auto"/>
        <w:ind w:firstLine="580"/>
        <w:jc w:val="both"/>
        <w:rPr>
          <w:rFonts w:ascii="仿宋" w:eastAsia="仿宋" w:hAnsi="仿宋" w:cs="仿宋" w:hint="eastAsia"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sz w:val="28"/>
          <w:szCs w:val="28"/>
          <w:lang w:val="en-US" w:eastAsia="zh-CN"/>
        </w:rPr>
        <w:t>以上三个赛道的详细规则，请参考各平台界面的规则与提示。</w:t>
      </w:r>
      <w:bookmarkStart w:id="0" w:name="_GoBack"/>
      <w:bookmarkEnd w:id="0"/>
    </w:p>
    <w:sectPr w:rsidR="004E6D6B" w:rsidRPr="00AC770E">
      <w:pgSz w:w="11900" w:h="16840"/>
      <w:pgMar w:top="1229" w:right="1344" w:bottom="2979" w:left="1647" w:header="801" w:footer="25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0E"/>
    <w:rsid w:val="004E6D6B"/>
    <w:rsid w:val="00AC770E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5A9D"/>
  <w15:chartTrackingRefBased/>
  <w15:docId w15:val="{D1176929-C14A-428E-BF1D-9E4B55AA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0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sid w:val="00AC770E"/>
    <w:rPr>
      <w:rFonts w:ascii="宋体" w:eastAsia="宋体" w:hAnsi="宋体" w:cs="宋体"/>
      <w:b/>
      <w:bCs/>
      <w:color w:val="FF0000"/>
      <w:sz w:val="32"/>
      <w:szCs w:val="3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AC770E"/>
    <w:pPr>
      <w:spacing w:line="561" w:lineRule="exact"/>
      <w:jc w:val="center"/>
    </w:pPr>
    <w:rPr>
      <w:rFonts w:ascii="宋体" w:eastAsia="宋体" w:hAnsi="宋体" w:cs="宋体"/>
      <w:b/>
      <w:bCs/>
      <w:color w:val="FF0000"/>
      <w:kern w:val="2"/>
      <w:sz w:val="32"/>
      <w:szCs w:val="32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sid w:val="00AC770E"/>
    <w:rPr>
      <w:rFonts w:ascii="宋体" w:eastAsia="宋体" w:hAnsi="宋体" w:cs="宋体"/>
      <w:b/>
      <w:bCs/>
      <w:sz w:val="30"/>
      <w:szCs w:val="30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AC770E"/>
    <w:pPr>
      <w:spacing w:line="563" w:lineRule="exact"/>
      <w:ind w:firstLine="570"/>
      <w:outlineLvl w:val="0"/>
    </w:pPr>
    <w:rPr>
      <w:rFonts w:ascii="宋体" w:eastAsia="宋体" w:hAnsi="宋体" w:cs="宋体"/>
      <w:b/>
      <w:bCs/>
      <w:color w:val="auto"/>
      <w:kern w:val="2"/>
      <w:sz w:val="30"/>
      <w:szCs w:val="3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AC770E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AC770E"/>
    <w:pPr>
      <w:spacing w:line="446" w:lineRule="auto"/>
      <w:ind w:firstLine="400"/>
    </w:pPr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2022-09-13T09:23:00Z</dcterms:created>
  <dcterms:modified xsi:type="dcterms:W3CDTF">2022-09-13T09:24:00Z</dcterms:modified>
</cp:coreProperties>
</file>